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B2" w:rsidRDefault="00A840B2" w:rsidP="009A5662">
      <w:pPr>
        <w:pStyle w:val="ConsPlusTitle"/>
        <w:outlineLvl w:val="1"/>
      </w:pPr>
      <w:r>
        <w:t>Управление рисками причинения вреда (ущерба)</w:t>
      </w:r>
      <w:r w:rsidR="009A5662">
        <w:t xml:space="preserve"> </w:t>
      </w:r>
      <w:r>
        <w:t>охраняемым законом ценностям</w:t>
      </w:r>
    </w:p>
    <w:p w:rsidR="00A840B2" w:rsidRDefault="00A840B2">
      <w:pPr>
        <w:pStyle w:val="ConsPlusNormal"/>
        <w:jc w:val="center"/>
      </w:pPr>
    </w:p>
    <w:p w:rsidR="00A840B2" w:rsidRDefault="00A840B2">
      <w:pPr>
        <w:pStyle w:val="ConsPlusNormal"/>
        <w:ind w:firstLine="540"/>
        <w:jc w:val="both"/>
      </w:pPr>
      <w:r>
        <w:t>1. Контрольный орган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840B2" w:rsidRDefault="00A840B2">
      <w:pPr>
        <w:pStyle w:val="ConsPlusNormal"/>
        <w:spacing w:before="220"/>
        <w:ind w:firstLine="540"/>
        <w:jc w:val="both"/>
      </w:pPr>
      <w:r>
        <w:t xml:space="preserve">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 риска в соответствии с Федеральным </w:t>
      </w:r>
      <w:hyperlink r:id="rId4" w:history="1">
        <w:r>
          <w:rPr>
            <w:color w:val="0000FF"/>
          </w:rPr>
          <w:t>законом</w:t>
        </w:r>
      </w:hyperlink>
      <w:r>
        <w:t xml:space="preserve"> N 248-ФЗ.</w:t>
      </w:r>
    </w:p>
    <w:p w:rsidR="00A840B2" w:rsidRDefault="00A840B2">
      <w:pPr>
        <w:pStyle w:val="ConsPlusNormal"/>
        <w:spacing w:before="220"/>
        <w:ind w:firstLine="540"/>
        <w:jc w:val="both"/>
      </w:pPr>
      <w:r>
        <w:t>3. В соответствии с оценкой риска причинения вреда (ущерба) охраняемым законом ценностям устанавливается 3 категории риска:</w:t>
      </w:r>
    </w:p>
    <w:p w:rsidR="00A840B2" w:rsidRDefault="00A840B2">
      <w:pPr>
        <w:pStyle w:val="ConsPlusNormal"/>
        <w:spacing w:before="220"/>
        <w:ind w:firstLine="540"/>
        <w:jc w:val="both"/>
      </w:pPr>
      <w:r>
        <w:t>3.1. средний риск;</w:t>
      </w:r>
    </w:p>
    <w:p w:rsidR="00A840B2" w:rsidRDefault="00A840B2">
      <w:pPr>
        <w:pStyle w:val="ConsPlusNormal"/>
        <w:spacing w:before="220"/>
        <w:ind w:firstLine="540"/>
        <w:jc w:val="both"/>
      </w:pPr>
      <w:r>
        <w:t>3.2. умеренный риск;</w:t>
      </w:r>
    </w:p>
    <w:p w:rsidR="00A840B2" w:rsidRDefault="00A840B2">
      <w:pPr>
        <w:pStyle w:val="ConsPlusNormal"/>
        <w:spacing w:before="220"/>
        <w:ind w:firstLine="540"/>
        <w:jc w:val="both"/>
      </w:pPr>
      <w:r>
        <w:t>3.3. низкий риск.</w:t>
      </w:r>
    </w:p>
    <w:p w:rsidR="00A840B2" w:rsidRDefault="00A840B2">
      <w:pPr>
        <w:pStyle w:val="ConsPlusNormal"/>
        <w:spacing w:before="220"/>
        <w:ind w:firstLine="540"/>
        <w:jc w:val="both"/>
      </w:pPr>
      <w:r>
        <w:t>4. При отнесении объектов контроля к категориям риска используются в том числе:</w:t>
      </w:r>
    </w:p>
    <w:p w:rsidR="00A840B2" w:rsidRDefault="00A840B2">
      <w:pPr>
        <w:pStyle w:val="ConsPlusNormal"/>
        <w:spacing w:before="220"/>
        <w:ind w:firstLine="540"/>
        <w:jc w:val="both"/>
      </w:pPr>
      <w:r>
        <w:t>4.1. сведения, содержащиеся в Едином государственном реестре недвижимости;</w:t>
      </w:r>
    </w:p>
    <w:p w:rsidR="00A840B2" w:rsidRDefault="00A840B2">
      <w:pPr>
        <w:pStyle w:val="ConsPlusNormal"/>
        <w:spacing w:before="220"/>
        <w:ind w:firstLine="540"/>
        <w:jc w:val="both"/>
      </w:pPr>
      <w:r>
        <w:t xml:space="preserve">4.2. сведения, полученные </w:t>
      </w:r>
      <w:proofErr w:type="gramStart"/>
      <w:r>
        <w:t>в рамках</w:t>
      </w:r>
      <w:proofErr w:type="gramEnd"/>
      <w:r>
        <w:t xml:space="preserve"> проведенных Контрольным органом контрольных и профилактических мероприятий;</w:t>
      </w:r>
    </w:p>
    <w:p w:rsidR="00A840B2" w:rsidRDefault="00A840B2">
      <w:pPr>
        <w:pStyle w:val="ConsPlusNormal"/>
        <w:spacing w:before="220"/>
        <w:ind w:firstLine="540"/>
        <w:jc w:val="both"/>
      </w:pPr>
      <w:r>
        <w:t>4.3. сведения, содержащиеся в государственном фонде данных, полученных в результате проведения землеустройства.</w:t>
      </w:r>
    </w:p>
    <w:p w:rsidR="00A840B2" w:rsidRDefault="00A840B2">
      <w:pPr>
        <w:pStyle w:val="ConsPlusNormal"/>
        <w:spacing w:before="220"/>
        <w:ind w:firstLine="540"/>
        <w:jc w:val="both"/>
      </w:pPr>
      <w:r>
        <w:t>5. Критериями отнесения объектов контроля к категории среднего риска являются:</w:t>
      </w:r>
    </w:p>
    <w:p w:rsidR="00A840B2" w:rsidRDefault="00A840B2">
      <w:pPr>
        <w:pStyle w:val="ConsPlusNormal"/>
        <w:spacing w:before="220"/>
        <w:ind w:firstLine="540"/>
        <w:jc w:val="both"/>
      </w:pPr>
      <w:r>
        <w:t>5.1.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A840B2" w:rsidRDefault="00A840B2">
      <w:pPr>
        <w:pStyle w:val="ConsPlusNormal"/>
        <w:spacing w:before="220"/>
        <w:ind w:firstLine="540"/>
        <w:jc w:val="both"/>
      </w:pPr>
      <w:r>
        <w:t>5.2. земельные участки, расположенные в границах или примыкающие к границе береговой полосы водных объектов общего пользования;</w:t>
      </w:r>
    </w:p>
    <w:p w:rsidR="00A840B2" w:rsidRDefault="00A840B2">
      <w:pPr>
        <w:pStyle w:val="ConsPlusNormal"/>
        <w:spacing w:before="220"/>
        <w:ind w:firstLine="540"/>
        <w:jc w:val="both"/>
      </w:pPr>
      <w:r>
        <w:t>5.3. земельные участки, предназначенные для жилищного строительства, ведения личного подсобного хозяйства.</w:t>
      </w:r>
    </w:p>
    <w:p w:rsidR="00A840B2" w:rsidRDefault="00A840B2">
      <w:pPr>
        <w:pStyle w:val="ConsPlusNormal"/>
        <w:spacing w:before="220"/>
        <w:ind w:firstLine="540"/>
        <w:jc w:val="both"/>
      </w:pPr>
      <w:r>
        <w:t>6. Критериями отнесения объектов контроля к категории умеренного риска являются:</w:t>
      </w:r>
    </w:p>
    <w:p w:rsidR="00A840B2" w:rsidRDefault="00A840B2">
      <w:pPr>
        <w:pStyle w:val="ConsPlusNormal"/>
        <w:spacing w:before="220"/>
        <w:ind w:firstLine="540"/>
        <w:jc w:val="both"/>
      </w:pPr>
      <w:r>
        <w:t>6.1. земельные участки, расположенные в границах территорий исторических центров города;</w:t>
      </w:r>
    </w:p>
    <w:p w:rsidR="00A840B2" w:rsidRDefault="00A840B2">
      <w:pPr>
        <w:pStyle w:val="ConsPlusNormal"/>
        <w:spacing w:before="220"/>
        <w:ind w:firstLine="540"/>
        <w:jc w:val="both"/>
      </w:pPr>
      <w:r>
        <w:t>6.2. земельные участки, предоставленные для размещения производственных и административных зданий;</w:t>
      </w:r>
    </w:p>
    <w:p w:rsidR="00A840B2" w:rsidRDefault="00A840B2">
      <w:pPr>
        <w:pStyle w:val="ConsPlusNormal"/>
        <w:spacing w:before="220"/>
        <w:ind w:firstLine="540"/>
        <w:jc w:val="both"/>
      </w:pPr>
      <w:r>
        <w:t>6.3. земельные участки, предоставленные для размещения объектов торговли, общественного питания и бытового обслуживания;</w:t>
      </w:r>
    </w:p>
    <w:p w:rsidR="00A840B2" w:rsidRDefault="00A840B2">
      <w:pPr>
        <w:pStyle w:val="ConsPlusNormal"/>
        <w:spacing w:before="220"/>
        <w:ind w:firstLine="540"/>
        <w:jc w:val="both"/>
      </w:pPr>
      <w:r>
        <w:t>6.4. земельные участки, предоставленные для ведения садоводства, огородничества, гаражного строительства.</w:t>
      </w:r>
    </w:p>
    <w:p w:rsidR="00A840B2" w:rsidRDefault="00A840B2">
      <w:pPr>
        <w:pStyle w:val="ConsPlusNormal"/>
        <w:spacing w:before="220"/>
        <w:ind w:firstLine="540"/>
        <w:jc w:val="both"/>
      </w:pPr>
      <w:r>
        <w:t>7. К категории низкого риска относятся объекты контроля, не отнесенные к категории среднего и умеренного риска.</w:t>
      </w:r>
    </w:p>
    <w:p w:rsidR="00A840B2" w:rsidRDefault="00A840B2">
      <w:pPr>
        <w:pStyle w:val="ConsPlusNormal"/>
        <w:spacing w:before="220"/>
        <w:ind w:firstLine="540"/>
        <w:jc w:val="both"/>
      </w:pPr>
      <w:r>
        <w:lastRenderedPageBreak/>
        <w:t>8.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A840B2" w:rsidRDefault="00A840B2">
      <w:pPr>
        <w:pStyle w:val="ConsPlusNormal"/>
        <w:spacing w:before="220"/>
        <w:ind w:firstLine="540"/>
        <w:jc w:val="both"/>
      </w:pPr>
      <w:r>
        <w:t>9. Отнесение объектов контроля к определенной категории риска и изменение присвоенной объекту контроля категории риска осуществляются приказом директора Контрольного органа в соответствии с критериями отнесения земельных участков к определенной категории риска.</w:t>
      </w:r>
    </w:p>
    <w:p w:rsidR="00A840B2" w:rsidRDefault="00A840B2">
      <w:pPr>
        <w:pStyle w:val="ConsPlusNormal"/>
        <w:jc w:val="both"/>
      </w:pPr>
      <w:r>
        <w:t xml:space="preserve">(в ред. </w:t>
      </w:r>
      <w:hyperlink r:id="rId5" w:history="1">
        <w:r>
          <w:rPr>
            <w:color w:val="0000FF"/>
          </w:rPr>
          <w:t>Решения</w:t>
        </w:r>
      </w:hyperlink>
      <w:r>
        <w:t xml:space="preserve"> Курганской городской Думы от 14.12.2021 N 186)</w:t>
      </w:r>
    </w:p>
    <w:p w:rsidR="00A840B2" w:rsidRDefault="00A840B2">
      <w:pPr>
        <w:pStyle w:val="ConsPlusNormal"/>
        <w:spacing w:before="220"/>
        <w:ind w:firstLine="540"/>
        <w:jc w:val="both"/>
      </w:pPr>
      <w:r>
        <w:t>Принятие решения об отнесении объектов контроля к категории низкого риска не требуется.</w:t>
      </w:r>
    </w:p>
    <w:p w:rsidR="00A840B2" w:rsidRDefault="00A840B2">
      <w:pPr>
        <w:pStyle w:val="ConsPlusNormal"/>
        <w:spacing w:before="220"/>
        <w:ind w:firstLine="540"/>
        <w:jc w:val="both"/>
      </w:pPr>
      <w:r>
        <w:t>10. Проведение Контрольным органом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rsidR="00A840B2" w:rsidRDefault="00A840B2">
      <w:pPr>
        <w:pStyle w:val="ConsPlusNormal"/>
        <w:spacing w:before="220"/>
        <w:ind w:firstLine="540"/>
        <w:jc w:val="both"/>
      </w:pPr>
      <w:r>
        <w:t>10.1. для объектов контроля, отнесенных к категории среднего риска, - один раз в три года;</w:t>
      </w:r>
    </w:p>
    <w:p w:rsidR="00A840B2" w:rsidRDefault="00A840B2">
      <w:pPr>
        <w:pStyle w:val="ConsPlusNormal"/>
        <w:spacing w:before="220"/>
        <w:ind w:firstLine="540"/>
        <w:jc w:val="both"/>
      </w:pPr>
      <w:r>
        <w:t>10.2. для объектов контроля, отнесенных к категории умеренного риска, - один раз в пять лет.</w:t>
      </w:r>
    </w:p>
    <w:p w:rsidR="00A840B2" w:rsidRDefault="00A840B2">
      <w:pPr>
        <w:pStyle w:val="ConsPlusNormal"/>
        <w:spacing w:before="220"/>
        <w:ind w:firstLine="540"/>
        <w:jc w:val="both"/>
      </w:pPr>
      <w:r>
        <w:t>11. В отношении объектов контроля, отнесенных к категории низкого риска, плановые контрольные мероприятия не проводятся.</w:t>
      </w:r>
    </w:p>
    <w:p w:rsidR="00A840B2" w:rsidRDefault="00A840B2">
      <w:pPr>
        <w:pStyle w:val="ConsPlusNormal"/>
        <w:spacing w:before="220"/>
        <w:ind w:firstLine="540"/>
        <w:jc w:val="both"/>
      </w:pPr>
      <w:r>
        <w:t>12.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требований земельного законодательства, но с высокой степенью вероятности свидетельствуют о наличии таких нарушений и риска причинения вреда (ущерба) охраняемым законом ценностям.</w:t>
      </w:r>
    </w:p>
    <w:p w:rsidR="00A840B2" w:rsidRDefault="00A840B2">
      <w:pPr>
        <w:pStyle w:val="ConsPlusNormal"/>
        <w:spacing w:before="220"/>
        <w:ind w:firstLine="540"/>
        <w:jc w:val="both"/>
      </w:pPr>
      <w:bookmarkStart w:id="0" w:name="P109"/>
      <w:bookmarkEnd w:id="0"/>
      <w:r>
        <w:t xml:space="preserve">13. </w:t>
      </w:r>
      <w:hyperlink w:anchor="P365" w:history="1">
        <w:r>
          <w:rPr>
            <w:color w:val="0000FF"/>
          </w:rPr>
          <w:t>Перечень</w:t>
        </w:r>
      </w:hyperlink>
      <w:r>
        <w:t xml:space="preserve"> индикаторов риска нарушения обязательных требований, проверяемых в рамках осуществления муниципального контроля, определен в приложении N 1 к настоящему Положению.</w:t>
      </w:r>
    </w:p>
    <w:p w:rsidR="00A840B2" w:rsidRDefault="00A840B2">
      <w:pPr>
        <w:pStyle w:val="ConsPlusNormal"/>
        <w:spacing w:before="220"/>
        <w:ind w:firstLine="540"/>
        <w:jc w:val="both"/>
      </w:pPr>
      <w:r>
        <w:t>14. Контрольный орган ведет перечни земельных участков, которым присвоены категории риска (далее - перечни земельных участков).</w:t>
      </w:r>
    </w:p>
    <w:p w:rsidR="00A840B2" w:rsidRDefault="00A840B2">
      <w:pPr>
        <w:pStyle w:val="ConsPlusNormal"/>
        <w:spacing w:before="220"/>
        <w:ind w:firstLine="540"/>
        <w:jc w:val="both"/>
      </w:pPr>
      <w:r>
        <w:t>Включение земельных участков в перечни земельных участков осуществляется в соответствии с приказом директора Контрольного органа.</w:t>
      </w:r>
    </w:p>
    <w:p w:rsidR="00A840B2" w:rsidRDefault="00A840B2">
      <w:pPr>
        <w:pStyle w:val="ConsPlusNormal"/>
        <w:jc w:val="both"/>
      </w:pPr>
      <w:r>
        <w:t xml:space="preserve">(в ред. </w:t>
      </w:r>
      <w:hyperlink r:id="rId6" w:history="1">
        <w:r>
          <w:rPr>
            <w:color w:val="0000FF"/>
          </w:rPr>
          <w:t>Решения</w:t>
        </w:r>
      </w:hyperlink>
      <w:r>
        <w:t xml:space="preserve"> Курганской городской Думы от 14.12.2021 N 186)</w:t>
      </w:r>
    </w:p>
    <w:p w:rsidR="00A840B2" w:rsidRDefault="00A840B2">
      <w:pPr>
        <w:pStyle w:val="ConsPlusNormal"/>
        <w:spacing w:before="220"/>
        <w:ind w:firstLine="540"/>
        <w:jc w:val="both"/>
      </w:pPr>
      <w:r>
        <w:t>15. Перечни земельных участков содержат следующую информацию:</w:t>
      </w:r>
    </w:p>
    <w:p w:rsidR="00A840B2" w:rsidRDefault="00A840B2">
      <w:pPr>
        <w:pStyle w:val="ConsPlusNormal"/>
        <w:spacing w:before="220"/>
        <w:ind w:firstLine="540"/>
        <w:jc w:val="both"/>
      </w:pPr>
      <w:r>
        <w:t>15.1. кадастровый номер земельного участка или при его отсутствии адрес местоположения земельного участка;</w:t>
      </w:r>
    </w:p>
    <w:p w:rsidR="00A840B2" w:rsidRDefault="00A840B2">
      <w:pPr>
        <w:pStyle w:val="ConsPlusNormal"/>
        <w:spacing w:before="220"/>
        <w:ind w:firstLine="540"/>
        <w:jc w:val="both"/>
      </w:pPr>
      <w:r>
        <w:t>15.2. присвоенная категория риска;</w:t>
      </w:r>
    </w:p>
    <w:p w:rsidR="00A840B2" w:rsidRDefault="00A840B2">
      <w:pPr>
        <w:pStyle w:val="ConsPlusNormal"/>
        <w:spacing w:before="220"/>
        <w:ind w:firstLine="540"/>
        <w:jc w:val="both"/>
      </w:pPr>
      <w:r>
        <w:t>15.3. реквизиты приказа директора Контрольного органа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A840B2" w:rsidRDefault="00A840B2">
      <w:pPr>
        <w:pStyle w:val="ConsPlusNormal"/>
        <w:jc w:val="both"/>
      </w:pPr>
      <w:r>
        <w:t xml:space="preserve">(в ред. </w:t>
      </w:r>
      <w:hyperlink r:id="rId7" w:history="1">
        <w:r>
          <w:rPr>
            <w:color w:val="0000FF"/>
          </w:rPr>
          <w:t>Решения</w:t>
        </w:r>
      </w:hyperlink>
      <w:r>
        <w:t xml:space="preserve"> Курганской городской Думы от 14.12.2021 N 186)</w:t>
      </w:r>
    </w:p>
    <w:p w:rsidR="00A840B2" w:rsidRDefault="00A840B2">
      <w:pPr>
        <w:pStyle w:val="ConsPlusNormal"/>
        <w:spacing w:before="220"/>
        <w:ind w:firstLine="540"/>
        <w:jc w:val="both"/>
      </w:pPr>
      <w:r>
        <w:t>16. Перечни земельных участков размещаются и поддерживаются в актуальном состоянии на официальном сайте муниципального образования города Кургана в сети "Интернет" (далее - официальный сайт).</w:t>
      </w:r>
    </w:p>
    <w:p w:rsidR="00A840B2" w:rsidRDefault="00A840B2">
      <w:pPr>
        <w:pStyle w:val="ConsPlusNormal"/>
        <w:spacing w:before="220"/>
        <w:ind w:firstLine="540"/>
        <w:jc w:val="both"/>
      </w:pPr>
      <w:r>
        <w:lastRenderedPageBreak/>
        <w:t>17. По запросу правообладателя земельного участка Контрольный орган в срок, не превышающий пятнадцати календарных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A840B2" w:rsidRDefault="00A840B2">
      <w:pPr>
        <w:pStyle w:val="ConsPlusNormal"/>
        <w:spacing w:before="220"/>
        <w:ind w:firstLine="540"/>
        <w:jc w:val="both"/>
      </w:pPr>
      <w:r>
        <w:t>Правообладатель земельного участка вправе подать в Контрольный орган заявление об изменении присвоенной ранее земельному участку категории риска.</w:t>
      </w:r>
    </w:p>
    <w:p w:rsidR="00A840B2" w:rsidRDefault="00A840B2">
      <w:pPr>
        <w:pStyle w:val="ConsPlusNormal"/>
        <w:spacing w:before="220"/>
        <w:ind w:firstLine="540"/>
        <w:jc w:val="both"/>
      </w:pPr>
      <w:r>
        <w:t>18.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A840B2" w:rsidRDefault="00A840B2">
      <w:pPr>
        <w:pStyle w:val="ConsPlusNormal"/>
        <w:jc w:val="center"/>
      </w:pPr>
      <w:bookmarkStart w:id="1" w:name="_GoBack"/>
      <w:bookmarkEnd w:id="1"/>
    </w:p>
    <w:sectPr w:rsidR="00A840B2" w:rsidSect="004E5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B2"/>
    <w:rsid w:val="00590D0B"/>
    <w:rsid w:val="009A5662"/>
    <w:rsid w:val="00A84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0653"/>
  <w15:chartTrackingRefBased/>
  <w15:docId w15:val="{AFF42E15-EB2E-48D4-AF64-C7AAA200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0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0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40B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4337AD923D72F88E8D528F28AD8A23E4C0949B2A466A0008A354C20B80C433423470185379644C133933CEC723C1A47E7AEA09B8316DA31BFE222h7X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4337AD923D72F88E8D528F28AD8A23E4C0949B2A466A0008A354C20B80C433423470185379644C133933CEC723C1A47E7AEA09B8316DA31BFE222h7X0E" TargetMode="External"/><Relationship Id="rId5" Type="http://schemas.openxmlformats.org/officeDocument/2006/relationships/hyperlink" Target="consultantplus://offline/ref=E4337AD923D72F88E8D528F28AD8A23E4C0949B2A466A0008A354C20B80C433423470185379644C133933CEC723C1A47E7AEA09B8316DA31BFE222h7X0E" TargetMode="External"/><Relationship Id="rId4" Type="http://schemas.openxmlformats.org/officeDocument/2006/relationships/hyperlink" Target="consultantplus://offline/ref=E4337AD923D72F88E8D528E489B4FE344C0A1EBAA263AD55D76A177DEF054963760800CB73935BC1378D3EE47Bh6XA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Мельникова</dc:creator>
  <cp:keywords/>
  <dc:description/>
  <cp:lastModifiedBy>Александр Меньщиков</cp:lastModifiedBy>
  <cp:revision>2</cp:revision>
  <dcterms:created xsi:type="dcterms:W3CDTF">2022-04-08T04:23:00Z</dcterms:created>
  <dcterms:modified xsi:type="dcterms:W3CDTF">2022-05-06T11:17:00Z</dcterms:modified>
</cp:coreProperties>
</file>